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新余学院课程负责人制度实施办法（试行）</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课程建设是高校教学工作的一项基础性建设。为落实《新余学院教学质量三年提升计划（2019-2022年）》，进一步加强课程建设和教学团队建设，打造“金课”、“金师”，不断提升课程教学质量和教师教学水平，经研究决定，对学校本科教学的主要课程试行课程负责人制度。</w:t>
      </w:r>
    </w:p>
    <w:p>
      <w:pPr>
        <w:spacing w:line="60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一、课程负责人的设置</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1.在公共必修课中，每门课程设置一名课程负责人，但一门公共必修课超过7人共同授课的，可以设立课程的第二负责人，组建课程团队协助第一负责人加强课程建设。如一个教研室只负责一门公共课，教研室主任符合课程负责人条件的，原则上由教研室主任担任课程负责人。</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在专业课程中，一门课程授课人数为3人及以上的，可以在一门课程上设置课程负责人；一门课程授课人数不超过3人的，可以将先行课程、后续课程或关联度紧密的几门课程组成课程群，在每个课程群设置一名课程负责人。鼓励跨学院、跨专业设置课程群和课程负责人。</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3.在其他课程中，根据课程的实际情况，参照上述要求在每门课程或每个课程群设置一名课程负责人。</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4.课程负责人的设置要循序渐进，条件成熟一个设置一个，条件不成熟不设置。在明确课程负责人的同时，由课程负责人提名组建课程团队，团队成员人数一般为3-7人，知识、年龄和能力结构合理，负责课程一般不超过5门。每位任课教师仅能加入一个课程团队。在试行阶段，各二级学院至少要推荐一名课程负责人并明确所负责的课程及团队成员。鼓励并优先确定应用型课程和课程群负责人。</w:t>
      </w:r>
    </w:p>
    <w:p>
      <w:pPr>
        <w:spacing w:line="60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二、课程负责人的条件</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1.政治立场坚定，具有良好的师德师风，严格要求自己，热心教学工作，责任心强，爱岗</w:t>
      </w:r>
      <w:bookmarkStart w:id="0" w:name="_GoBack"/>
      <w:bookmarkEnd w:id="0"/>
      <w:r>
        <w:rPr>
          <w:rFonts w:hint="eastAsia" w:ascii="仿宋" w:hAnsi="仿宋" w:eastAsia="仿宋"/>
          <w:color w:val="auto"/>
          <w:sz w:val="32"/>
          <w:szCs w:val="32"/>
        </w:rPr>
        <w:t>敬业。</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2.多年担任本课程及相关课程教学任务，对课程有较深的理解和丰富的教学经验，</w:t>
      </w:r>
      <w:r>
        <w:rPr>
          <w:rFonts w:hint="eastAsia" w:ascii="仿宋" w:hAnsi="仿宋" w:eastAsia="仿宋"/>
          <w:color w:val="auto"/>
          <w:sz w:val="32"/>
          <w:szCs w:val="32"/>
        </w:rPr>
        <w:t>近两年教师教学质量评价良好以上，</w:t>
      </w:r>
      <w:r>
        <w:rPr>
          <w:rFonts w:hint="eastAsia" w:ascii="仿宋" w:hAnsi="仿宋" w:eastAsia="仿宋"/>
          <w:color w:val="auto"/>
          <w:sz w:val="32"/>
          <w:szCs w:val="32"/>
        </w:rPr>
        <w:t>有较强的组织管理能力，具有带领课程组开展教学研究工作的能力。</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3.原则上应由高级职称或具有博士学位或担任副处及以上行政职务的教师担任，</w:t>
      </w:r>
      <w:r>
        <w:rPr>
          <w:rFonts w:hint="eastAsia" w:ascii="仿宋" w:hAnsi="仿宋" w:eastAsia="仿宋"/>
          <w:color w:val="auto"/>
          <w:sz w:val="32"/>
          <w:szCs w:val="32"/>
        </w:rPr>
        <w:t>同时</w:t>
      </w:r>
      <w:r>
        <w:rPr>
          <w:rFonts w:ascii="仿宋" w:hAnsi="仿宋" w:eastAsia="仿宋"/>
          <w:color w:val="auto"/>
          <w:sz w:val="32"/>
          <w:szCs w:val="32"/>
        </w:rPr>
        <w:t>应具备以下条件之一：</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（1）承担</w:t>
      </w:r>
      <w:r>
        <w:rPr>
          <w:rFonts w:ascii="仿宋" w:hAnsi="仿宋" w:eastAsia="仿宋"/>
          <w:color w:val="auto"/>
          <w:sz w:val="32"/>
          <w:szCs w:val="32"/>
        </w:rPr>
        <w:t>过省级以上教学质量工程项目；</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（2）主持</w:t>
      </w:r>
      <w:r>
        <w:rPr>
          <w:rFonts w:ascii="仿宋" w:hAnsi="仿宋" w:eastAsia="仿宋"/>
          <w:color w:val="auto"/>
          <w:sz w:val="32"/>
          <w:szCs w:val="32"/>
        </w:rPr>
        <w:t>过省级教改课题；</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（3）以</w:t>
      </w:r>
      <w:r>
        <w:rPr>
          <w:rFonts w:ascii="仿宋" w:hAnsi="仿宋" w:eastAsia="仿宋"/>
          <w:color w:val="auto"/>
          <w:sz w:val="32"/>
          <w:szCs w:val="32"/>
        </w:rPr>
        <w:t>第一</w:t>
      </w:r>
      <w:r>
        <w:rPr>
          <w:rFonts w:hint="eastAsia" w:ascii="仿宋" w:hAnsi="仿宋" w:eastAsia="仿宋"/>
          <w:color w:val="auto"/>
          <w:sz w:val="32"/>
          <w:szCs w:val="32"/>
        </w:rPr>
        <w:t>成果</w:t>
      </w:r>
      <w:r>
        <w:rPr>
          <w:rFonts w:ascii="仿宋" w:hAnsi="仿宋" w:eastAsia="仿宋"/>
          <w:color w:val="auto"/>
          <w:sz w:val="32"/>
          <w:szCs w:val="32"/>
        </w:rPr>
        <w:t>人</w:t>
      </w:r>
      <w:r>
        <w:rPr>
          <w:rFonts w:hint="eastAsia" w:ascii="仿宋" w:hAnsi="仿宋" w:eastAsia="仿宋"/>
          <w:color w:val="auto"/>
          <w:sz w:val="32"/>
          <w:szCs w:val="32"/>
        </w:rPr>
        <w:t>获得过校级</w:t>
      </w:r>
      <w:r>
        <w:rPr>
          <w:rFonts w:ascii="仿宋" w:hAnsi="仿宋" w:eastAsia="仿宋"/>
          <w:color w:val="auto"/>
          <w:sz w:val="32"/>
          <w:szCs w:val="32"/>
        </w:rPr>
        <w:t>教学成果奖二等奖以上</w:t>
      </w:r>
      <w:r>
        <w:rPr>
          <w:rFonts w:hint="eastAsia" w:ascii="仿宋" w:hAnsi="仿宋" w:eastAsia="仿宋"/>
          <w:color w:val="auto"/>
          <w:sz w:val="32"/>
          <w:szCs w:val="32"/>
        </w:rPr>
        <w:t>；</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（4）以</w:t>
      </w:r>
      <w:r>
        <w:rPr>
          <w:rFonts w:ascii="仿宋" w:hAnsi="仿宋" w:eastAsia="仿宋"/>
          <w:color w:val="auto"/>
          <w:sz w:val="32"/>
          <w:szCs w:val="32"/>
        </w:rPr>
        <w:t>第一作者</w:t>
      </w:r>
      <w:r>
        <w:rPr>
          <w:rFonts w:hint="eastAsia" w:ascii="仿宋" w:hAnsi="仿宋" w:eastAsia="仿宋"/>
          <w:color w:val="auto"/>
          <w:sz w:val="32"/>
          <w:szCs w:val="32"/>
        </w:rPr>
        <w:t>发表</w:t>
      </w:r>
      <w:r>
        <w:rPr>
          <w:rFonts w:ascii="仿宋" w:hAnsi="仿宋" w:eastAsia="仿宋"/>
          <w:color w:val="auto"/>
          <w:sz w:val="32"/>
          <w:szCs w:val="32"/>
        </w:rPr>
        <w:t>过若干篇</w:t>
      </w:r>
      <w:r>
        <w:rPr>
          <w:rFonts w:hint="eastAsia" w:ascii="仿宋" w:hAnsi="仿宋" w:eastAsia="仿宋"/>
          <w:color w:val="auto"/>
          <w:sz w:val="32"/>
          <w:szCs w:val="32"/>
        </w:rPr>
        <w:t>高水平</w:t>
      </w:r>
      <w:r>
        <w:rPr>
          <w:rFonts w:ascii="仿宋" w:hAnsi="仿宋" w:eastAsia="仿宋"/>
          <w:color w:val="auto"/>
          <w:sz w:val="32"/>
          <w:szCs w:val="32"/>
        </w:rPr>
        <w:t>教改论文。</w:t>
      </w:r>
    </w:p>
    <w:p>
      <w:pPr>
        <w:spacing w:line="60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三、课程负责人的职责</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1.组织制定并主持实施课程建设规划，组织制订、修订、优化课程教学大纲、课程教学规范等教学文件。</w:t>
      </w:r>
    </w:p>
    <w:p>
      <w:pPr>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2</w:t>
      </w:r>
      <w:r>
        <w:rPr>
          <w:rFonts w:hint="eastAsia" w:ascii="仿宋" w:hAnsi="仿宋" w:eastAsia="仿宋"/>
          <w:color w:val="auto"/>
          <w:sz w:val="32"/>
          <w:szCs w:val="32"/>
        </w:rPr>
        <w:t>.负责课程的教材选用、征订和教材建设工作。</w:t>
      </w:r>
    </w:p>
    <w:p>
      <w:pPr>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3</w:t>
      </w:r>
      <w:r>
        <w:rPr>
          <w:rFonts w:hint="eastAsia" w:ascii="仿宋" w:hAnsi="仿宋" w:eastAsia="仿宋"/>
          <w:color w:val="auto"/>
          <w:sz w:val="32"/>
          <w:szCs w:val="32"/>
        </w:rPr>
        <w:t>.组织课程范围内的</w:t>
      </w:r>
      <w:r>
        <w:rPr>
          <w:rFonts w:hint="eastAsia" w:ascii="仿宋" w:hAnsi="仿宋" w:eastAsia="仿宋"/>
          <w:color w:val="auto"/>
          <w:sz w:val="32"/>
          <w:szCs w:val="32"/>
        </w:rPr>
        <w:t>研讨和集体备课，</w:t>
      </w:r>
      <w:r>
        <w:rPr>
          <w:rFonts w:ascii="仿宋" w:hAnsi="仿宋" w:eastAsia="仿宋"/>
          <w:color w:val="auto"/>
          <w:sz w:val="32"/>
          <w:szCs w:val="32"/>
        </w:rPr>
        <w:t>定期召开教育</w:t>
      </w:r>
      <w:r>
        <w:rPr>
          <w:rFonts w:hint="eastAsia" w:ascii="仿宋" w:hAnsi="仿宋" w:eastAsia="仿宋"/>
          <w:color w:val="auto"/>
          <w:sz w:val="32"/>
          <w:szCs w:val="32"/>
        </w:rPr>
        <w:t>教学方法改革和教学研讨沙龙等活动，</w:t>
      </w:r>
      <w:r>
        <w:rPr>
          <w:rFonts w:ascii="仿宋" w:hAnsi="仿宋" w:eastAsia="仿宋"/>
          <w:color w:val="auto"/>
          <w:sz w:val="32"/>
          <w:szCs w:val="32"/>
        </w:rPr>
        <w:t>不断推进课程革命</w:t>
      </w:r>
      <w:r>
        <w:rPr>
          <w:rFonts w:hint="eastAsia" w:ascii="仿宋" w:hAnsi="仿宋" w:eastAsia="仿宋"/>
          <w:color w:val="auto"/>
          <w:sz w:val="32"/>
          <w:szCs w:val="32"/>
        </w:rPr>
        <w:t>。</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4.负责组织课程教学资源开发工作。</w:t>
      </w:r>
    </w:p>
    <w:p>
      <w:pPr>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5</w:t>
      </w:r>
      <w:r>
        <w:rPr>
          <w:rFonts w:hint="eastAsia" w:ascii="仿宋" w:hAnsi="仿宋" w:eastAsia="仿宋"/>
          <w:color w:val="auto"/>
          <w:sz w:val="32"/>
          <w:szCs w:val="32"/>
        </w:rPr>
        <w:t>.组织课程团队成员发挥各自所长，集中团队力量共同争取教学研究项目、一流课程、教学成果奖、金牌教师等教学类业绩。</w:t>
      </w:r>
    </w:p>
    <w:p>
      <w:pPr>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6</w:t>
      </w:r>
      <w:r>
        <w:rPr>
          <w:rFonts w:hint="eastAsia" w:ascii="仿宋" w:hAnsi="仿宋" w:eastAsia="仿宋"/>
          <w:color w:val="auto"/>
          <w:sz w:val="32"/>
          <w:szCs w:val="32"/>
        </w:rPr>
        <w:t>.负责课程的教学管理和教学工作评估。</w:t>
      </w:r>
    </w:p>
    <w:p>
      <w:pPr>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7</w:t>
      </w:r>
      <w:r>
        <w:rPr>
          <w:rFonts w:hint="eastAsia" w:ascii="仿宋" w:hAnsi="仿宋" w:eastAsia="仿宋"/>
          <w:color w:val="auto"/>
          <w:sz w:val="32"/>
          <w:szCs w:val="32"/>
        </w:rPr>
        <w:t>.负责课程任课教师资格的审核和选任。</w:t>
      </w:r>
    </w:p>
    <w:p>
      <w:pPr>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8</w:t>
      </w:r>
      <w:r>
        <w:rPr>
          <w:rFonts w:hint="eastAsia" w:ascii="仿宋" w:hAnsi="仿宋" w:eastAsia="仿宋"/>
          <w:color w:val="auto"/>
          <w:sz w:val="32"/>
          <w:szCs w:val="32"/>
        </w:rPr>
        <w:t>.统筹使用课程的建设经费。</w:t>
      </w:r>
    </w:p>
    <w:p>
      <w:pPr>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9</w:t>
      </w:r>
      <w:r>
        <w:rPr>
          <w:rFonts w:hint="eastAsia" w:ascii="仿宋" w:hAnsi="仿宋" w:eastAsia="仿宋"/>
          <w:color w:val="auto"/>
          <w:sz w:val="32"/>
          <w:szCs w:val="32"/>
        </w:rPr>
        <w:t>.负责课程绩效工作量的计算和统筹分配。</w:t>
      </w:r>
    </w:p>
    <w:p>
      <w:pPr>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10</w:t>
      </w:r>
      <w:r>
        <w:rPr>
          <w:rFonts w:hint="eastAsia" w:ascii="仿宋" w:hAnsi="仿宋" w:eastAsia="仿宋"/>
          <w:color w:val="auto"/>
          <w:sz w:val="32"/>
          <w:szCs w:val="32"/>
        </w:rPr>
        <w:t>.其他应当由课程负责人履行的职责。</w:t>
      </w:r>
    </w:p>
    <w:p>
      <w:pPr>
        <w:spacing w:line="60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四、课程负责人的遴选、聘任、考核与待遇</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1.二级学院结合教师的申请和课程建设的需要，提出课程负责人及其团队名单，报教务处审核同意并公布无异议后，由二级学院聘任。</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课程负责人聘期3年，可以连续聘任。所属二级学院要制定标准，对课程负责人履职情况进行聘期考核和年度考核，年度考核不合格的及时更换。课程负责人及其团队一个聘期内未取得校级及以上一流课程、教学成果奖、金牌教师、教学竞赛、教学研究项目和其他经学校教学指导委员会认定的教学类成果表彰、荣誉和项目的，应当认定为考核不合格。</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3.年度考核合格的，给予课程负责人100个工作量，不可冲抵年度额定工作量。但一个教研室只负责一门公共课、教研室主任兼任课程负责人的，不重复计算工作量。聘期考核不合格的课程负责人，应当扣除聘期内已发放的工作量。</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4.课程团队成员署名第一获得《新余学院教学工作量计算办法》中的教学成果（J</w:t>
      </w:r>
      <w:r>
        <w:rPr>
          <w:rFonts w:hint="eastAsia" w:ascii="仿宋" w:hAnsi="仿宋" w:eastAsia="仿宋"/>
          <w:color w:val="auto"/>
          <w:sz w:val="18"/>
          <w:szCs w:val="18"/>
        </w:rPr>
        <w:t>7</w:t>
      </w:r>
      <w:r>
        <w:rPr>
          <w:rFonts w:hint="eastAsia" w:ascii="仿宋" w:hAnsi="仿宋" w:eastAsia="仿宋"/>
          <w:color w:val="auto"/>
          <w:sz w:val="32"/>
          <w:szCs w:val="32"/>
        </w:rPr>
        <w:t>）、教学质量工程项目（J</w:t>
      </w:r>
      <w:r>
        <w:rPr>
          <w:rFonts w:hint="eastAsia" w:ascii="仿宋" w:hAnsi="仿宋" w:eastAsia="仿宋"/>
          <w:color w:val="auto"/>
          <w:sz w:val="18"/>
          <w:szCs w:val="18"/>
        </w:rPr>
        <w:t>8</w:t>
      </w:r>
      <w:r>
        <w:rPr>
          <w:rFonts w:hint="eastAsia" w:ascii="仿宋" w:hAnsi="仿宋" w:eastAsia="仿宋"/>
          <w:color w:val="auto"/>
          <w:sz w:val="32"/>
          <w:szCs w:val="32"/>
        </w:rPr>
        <w:t>）等教学类业绩的，工作量按原有津贴的双倍计算，增加的这一倍工作量由课程负责人按团队成员贡献大小在年终绩效中分配。</w:t>
      </w:r>
    </w:p>
    <w:p>
      <w:pPr>
        <w:spacing w:before="156" w:beforeLines="50" w:after="156" w:afterLines="50" w:line="480" w:lineRule="auto"/>
        <w:ind w:firstLine="640" w:firstLineChars="200"/>
        <w:jc w:val="left"/>
        <w:rPr>
          <w:rFonts w:ascii="黑体" w:hAnsi="黑体" w:eastAsia="黑体" w:cs="宋体"/>
          <w:b/>
          <w:color w:val="auto"/>
          <w:sz w:val="36"/>
          <w:szCs w:val="36"/>
        </w:rPr>
      </w:pPr>
      <w:r>
        <w:rPr>
          <w:rFonts w:hint="eastAsia" w:ascii="仿宋" w:hAnsi="仿宋" w:eastAsia="仿宋"/>
          <w:color w:val="auto"/>
          <w:sz w:val="32"/>
          <w:szCs w:val="32"/>
        </w:rPr>
        <w:t>本规定</w:t>
      </w:r>
      <w:r>
        <w:rPr>
          <w:rFonts w:ascii="仿宋" w:hAnsi="仿宋" w:eastAsia="仿宋"/>
          <w:color w:val="auto"/>
          <w:sz w:val="32"/>
          <w:szCs w:val="32"/>
        </w:rPr>
        <w:t>由教务处负责解释，</w:t>
      </w:r>
      <w:r>
        <w:rPr>
          <w:rFonts w:hint="eastAsia" w:ascii="仿宋" w:hAnsi="仿宋" w:eastAsia="仿宋"/>
          <w:color w:val="auto"/>
          <w:sz w:val="32"/>
          <w:szCs w:val="32"/>
        </w:rPr>
        <w:t>自发布之日起开始实施。</w:t>
      </w:r>
    </w:p>
    <w:p>
      <w:pPr>
        <w:spacing w:before="156" w:beforeLines="50" w:after="156" w:afterLines="50" w:line="480" w:lineRule="auto"/>
        <w:jc w:val="center"/>
        <w:rPr>
          <w:rFonts w:ascii="黑体" w:hAnsi="黑体" w:eastAsia="黑体" w:cs="宋体"/>
          <w:b/>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5CA0FFE"/>
    <w:rsid w:val="00001726"/>
    <w:rsid w:val="00223CCB"/>
    <w:rsid w:val="00254BF2"/>
    <w:rsid w:val="002E6252"/>
    <w:rsid w:val="00344DC8"/>
    <w:rsid w:val="0046509F"/>
    <w:rsid w:val="00494969"/>
    <w:rsid w:val="00570969"/>
    <w:rsid w:val="007F034D"/>
    <w:rsid w:val="007F709C"/>
    <w:rsid w:val="008D13D7"/>
    <w:rsid w:val="008F47F8"/>
    <w:rsid w:val="00943ECD"/>
    <w:rsid w:val="00986703"/>
    <w:rsid w:val="009969F2"/>
    <w:rsid w:val="00A1728F"/>
    <w:rsid w:val="00AD0575"/>
    <w:rsid w:val="00AE3539"/>
    <w:rsid w:val="00C34C8D"/>
    <w:rsid w:val="00CB12FF"/>
    <w:rsid w:val="00D272C9"/>
    <w:rsid w:val="00D459A2"/>
    <w:rsid w:val="00DE6679"/>
    <w:rsid w:val="00E24EA6"/>
    <w:rsid w:val="00E678D9"/>
    <w:rsid w:val="00E84976"/>
    <w:rsid w:val="00EC37E8"/>
    <w:rsid w:val="00F40F24"/>
    <w:rsid w:val="0D191D22"/>
    <w:rsid w:val="14442F14"/>
    <w:rsid w:val="1C361AA0"/>
    <w:rsid w:val="2DCC706C"/>
    <w:rsid w:val="45CA0FFE"/>
    <w:rsid w:val="49DB3779"/>
    <w:rsid w:val="502014B6"/>
    <w:rsid w:val="579D0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251</Words>
  <Characters>1432</Characters>
  <Lines>11</Lines>
  <Paragraphs>3</Paragraphs>
  <TotalTime>12</TotalTime>
  <ScaleCrop>false</ScaleCrop>
  <LinksUpToDate>false</LinksUpToDate>
  <CharactersWithSpaces>1680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2020-03-06T07:30:00Z</dcterms:created>
  <dc:creator>小勇</dc:creator>
  <cp:lastModifiedBy>小勇</cp:lastModifiedBy>
  <dcterms:modified xsi:type="dcterms:W3CDTF">2020-06-01T08:53:55Z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